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58A" w:rsidRPr="00416964" w:rsidRDefault="00EA758A" w:rsidP="00EA758A">
      <w:pPr>
        <w:rPr>
          <w:rFonts w:ascii="Calibri" w:eastAsia="標楷體" w:hAnsi="Calibri"/>
          <w:sz w:val="26"/>
        </w:rPr>
      </w:pPr>
      <w:r w:rsidRPr="00416964">
        <w:rPr>
          <w:rFonts w:ascii="Calibri" w:eastAsia="標楷體" w:hAnsi="Calibri" w:hint="eastAsia"/>
          <w:sz w:val="26"/>
        </w:rPr>
        <w:t>附錄：</w:t>
      </w:r>
      <w:r w:rsidRPr="00416964">
        <w:rPr>
          <w:rFonts w:ascii="Calibri" w:eastAsia="標楷體" w:hAnsi="Calibri" w:hint="eastAsia"/>
          <w:sz w:val="26"/>
        </w:rPr>
        <w:t xml:space="preserve"> </w:t>
      </w:r>
    </w:p>
    <w:p w:rsidR="00304E8B" w:rsidRPr="00304E8B" w:rsidRDefault="00EA758A" w:rsidP="00304E8B">
      <w:pPr>
        <w:jc w:val="center"/>
        <w:rPr>
          <w:rFonts w:ascii="Calibri" w:eastAsia="標楷體" w:hAnsi="Calibri" w:hint="eastAsia"/>
          <w:b/>
          <w:sz w:val="28"/>
        </w:rPr>
      </w:pPr>
      <w:r w:rsidRPr="00304E8B">
        <w:rPr>
          <w:rFonts w:ascii="Calibri" w:eastAsia="標楷體" w:hAnsi="Calibri" w:hint="eastAsia"/>
          <w:b/>
          <w:sz w:val="28"/>
        </w:rPr>
        <w:t>第五屆</w:t>
      </w:r>
      <w:r w:rsidRPr="00304E8B">
        <w:rPr>
          <w:rFonts w:ascii="新細明體" w:eastAsia="新細明體" w:hAnsi="新細明體" w:hint="eastAsia"/>
          <w:b/>
          <w:sz w:val="28"/>
        </w:rPr>
        <w:t>「</w:t>
      </w:r>
      <w:r w:rsidRPr="00304E8B">
        <w:rPr>
          <w:rFonts w:ascii="Calibri" w:eastAsia="標楷體" w:hAnsi="Calibri" w:hint="eastAsia"/>
          <w:b/>
          <w:sz w:val="28"/>
        </w:rPr>
        <w:t>人文及社會科學學術性</w:t>
      </w:r>
      <w:proofErr w:type="gramStart"/>
      <w:r w:rsidRPr="00304E8B">
        <w:rPr>
          <w:rFonts w:ascii="Calibri" w:eastAsia="標楷體" w:hAnsi="Calibri" w:hint="eastAsia"/>
          <w:b/>
          <w:sz w:val="28"/>
        </w:rPr>
        <w:t>專書獎</w:t>
      </w:r>
      <w:proofErr w:type="gramEnd"/>
      <w:r w:rsidRPr="00304E8B">
        <w:rPr>
          <w:rFonts w:ascii="新細明體" w:eastAsia="新細明體" w:hAnsi="新細明體" w:hint="eastAsia"/>
          <w:b/>
          <w:sz w:val="28"/>
        </w:rPr>
        <w:t>」</w:t>
      </w:r>
      <w:r w:rsidRPr="00304E8B">
        <w:rPr>
          <w:rFonts w:ascii="Calibri" w:eastAsia="標楷體" w:hAnsi="Calibri" w:hint="eastAsia"/>
          <w:b/>
          <w:sz w:val="28"/>
        </w:rPr>
        <w:t>得獎</w:t>
      </w:r>
      <w:r w:rsidR="00304E8B" w:rsidRPr="00304E8B">
        <w:rPr>
          <w:rFonts w:ascii="Calibri" w:eastAsia="標楷體" w:hAnsi="Calibri" w:hint="eastAsia"/>
          <w:b/>
          <w:sz w:val="28"/>
        </w:rPr>
        <w:t>名單</w:t>
      </w:r>
    </w:p>
    <w:p w:rsidR="00EA758A" w:rsidRPr="00304E8B" w:rsidRDefault="00304E8B" w:rsidP="00304E8B">
      <w:pPr>
        <w:jc w:val="center"/>
        <w:rPr>
          <w:rFonts w:ascii="Calibri" w:eastAsia="標楷體" w:hAnsi="Calibri"/>
          <w:b/>
          <w:sz w:val="28"/>
        </w:rPr>
      </w:pPr>
      <w:r w:rsidRPr="00304E8B">
        <w:rPr>
          <w:rFonts w:ascii="Calibri" w:eastAsia="標楷體" w:hAnsi="Calibri" w:hint="eastAsia"/>
          <w:b/>
          <w:sz w:val="28"/>
        </w:rPr>
        <w:t>（依姓氏筆畫排序）</w:t>
      </w:r>
    </w:p>
    <w:p w:rsidR="00EA758A" w:rsidRPr="00416964" w:rsidRDefault="00EA758A" w:rsidP="00EA758A">
      <w:pPr>
        <w:rPr>
          <w:rFonts w:ascii="Calibri" w:eastAsia="標楷體" w:hAnsi="Calibri"/>
          <w:sz w:val="26"/>
        </w:rPr>
      </w:pPr>
    </w:p>
    <w:p w:rsidR="00EA758A" w:rsidRPr="00416964" w:rsidRDefault="00EA758A" w:rsidP="00EA758A">
      <w:pPr>
        <w:rPr>
          <w:rFonts w:ascii="Calibri" w:eastAsia="標楷體" w:hAnsi="Calibri"/>
          <w:sz w:val="26"/>
        </w:rPr>
      </w:pPr>
      <w:r w:rsidRPr="00304E8B">
        <w:rPr>
          <w:rFonts w:ascii="Calibri" w:eastAsia="標楷體" w:hAnsi="Calibri" w:hint="eastAsia"/>
          <w:b/>
          <w:sz w:val="26"/>
        </w:rPr>
        <w:t>李育霖，國立中興大學臺灣文學與跨國文化研究所教授</w:t>
      </w:r>
    </w:p>
    <w:p w:rsidR="00EA758A" w:rsidRPr="00416964" w:rsidRDefault="00EA758A" w:rsidP="00E21FCC">
      <w:pPr>
        <w:rPr>
          <w:rFonts w:ascii="Calibri" w:eastAsia="標楷體" w:hAnsi="Calibri"/>
          <w:sz w:val="26"/>
        </w:rPr>
      </w:pPr>
      <w:r w:rsidRPr="00416964">
        <w:rPr>
          <w:rFonts w:ascii="Calibri" w:eastAsia="標楷體" w:hAnsi="Calibri" w:hint="eastAsia"/>
          <w:sz w:val="26"/>
        </w:rPr>
        <w:t>得獎</w:t>
      </w:r>
      <w:r>
        <w:rPr>
          <w:rFonts w:ascii="Calibri" w:eastAsia="標楷體" w:hAnsi="Calibri" w:hint="eastAsia"/>
          <w:sz w:val="26"/>
        </w:rPr>
        <w:t>專書</w:t>
      </w:r>
      <w:r w:rsidRPr="00416964">
        <w:rPr>
          <w:rFonts w:ascii="Calibri" w:eastAsia="標楷體" w:hAnsi="Calibri" w:hint="eastAsia"/>
          <w:sz w:val="26"/>
        </w:rPr>
        <w:t>：</w:t>
      </w:r>
      <w:proofErr w:type="gramStart"/>
      <w:r w:rsidRPr="00304E8B">
        <w:rPr>
          <w:rFonts w:ascii="Calibri" w:eastAsia="標楷體" w:hAnsi="Calibri" w:hint="eastAsia"/>
          <w:b/>
          <w:sz w:val="26"/>
        </w:rPr>
        <w:t>《</w:t>
      </w:r>
      <w:proofErr w:type="gramEnd"/>
      <w:r w:rsidRPr="00304E8B">
        <w:rPr>
          <w:rFonts w:ascii="Calibri" w:eastAsia="標楷體" w:hAnsi="Calibri" w:hint="eastAsia"/>
          <w:b/>
          <w:sz w:val="26"/>
        </w:rPr>
        <w:t>擬造新地球：當代臺灣自然書寫</w:t>
      </w:r>
      <w:proofErr w:type="gramStart"/>
      <w:r w:rsidRPr="00304E8B">
        <w:rPr>
          <w:rFonts w:ascii="Calibri" w:eastAsia="標楷體" w:hAnsi="Calibri" w:hint="eastAsia"/>
          <w:b/>
          <w:sz w:val="26"/>
        </w:rPr>
        <w:t>》</w:t>
      </w:r>
      <w:proofErr w:type="gramEnd"/>
      <w:r w:rsidRPr="00416964">
        <w:rPr>
          <w:rFonts w:ascii="Calibri" w:eastAsia="標楷體" w:hAnsi="Calibri" w:hint="eastAsia"/>
          <w:sz w:val="26"/>
        </w:rPr>
        <w:t>，臺北市：臺大出版中心，</w:t>
      </w:r>
      <w:r w:rsidRPr="00416964">
        <w:rPr>
          <w:rFonts w:ascii="Calibri" w:eastAsia="標楷體" w:hAnsi="Calibri" w:hint="eastAsia"/>
          <w:sz w:val="26"/>
        </w:rPr>
        <w:t>2015</w:t>
      </w:r>
      <w:r w:rsidRPr="00416964">
        <w:rPr>
          <w:rFonts w:ascii="Calibri" w:eastAsia="標楷體" w:hAnsi="Calibri" w:hint="eastAsia"/>
          <w:sz w:val="26"/>
        </w:rPr>
        <w:t>。</w:t>
      </w:r>
    </w:p>
    <w:p w:rsidR="00EA758A" w:rsidRDefault="00EA758A" w:rsidP="00E21FCC">
      <w:pPr>
        <w:spacing w:beforeLines="50" w:before="180"/>
        <w:rPr>
          <w:rFonts w:ascii="Calibri" w:eastAsia="標楷體" w:hAnsi="Calibri"/>
          <w:sz w:val="26"/>
        </w:rPr>
      </w:pPr>
      <w:r>
        <w:rPr>
          <w:rFonts w:ascii="Calibri" w:eastAsia="標楷體" w:hAnsi="Calibri" w:hint="eastAsia"/>
          <w:sz w:val="26"/>
        </w:rPr>
        <w:t>本</w:t>
      </w:r>
      <w:r w:rsidRPr="000B0DF3">
        <w:rPr>
          <w:rFonts w:ascii="Calibri" w:eastAsia="標楷體" w:hAnsi="Calibri" w:hint="eastAsia"/>
          <w:sz w:val="26"/>
        </w:rPr>
        <w:t>書以法國思想家德勒茲與瓜達希的理論為主要研究框架，就吳明益的《蝶道》、《家離水邊那麼近》、劉克襄的《風鳥皮諾查》、廖鴻基的《鯨世鯨生》與夏曼</w:t>
      </w:r>
      <w:proofErr w:type="gramStart"/>
      <w:r w:rsidRPr="000B0DF3">
        <w:rPr>
          <w:rFonts w:ascii="Calibri" w:eastAsia="標楷體" w:hAnsi="Calibri" w:hint="eastAsia"/>
          <w:sz w:val="26"/>
        </w:rPr>
        <w:t>‧藍波安的</w:t>
      </w:r>
      <w:proofErr w:type="gramEnd"/>
      <w:r w:rsidRPr="000B0DF3">
        <w:rPr>
          <w:rFonts w:ascii="Calibri" w:eastAsia="標楷體" w:hAnsi="Calibri" w:hint="eastAsia"/>
          <w:sz w:val="26"/>
        </w:rPr>
        <w:t>《老海人》等台灣最具代表性的自然書寫予以深入探討。全書詮釋觀點</w:t>
      </w:r>
      <w:proofErr w:type="gramStart"/>
      <w:r w:rsidRPr="000B0DF3">
        <w:rPr>
          <w:rFonts w:ascii="Calibri" w:eastAsia="標楷體" w:hAnsi="Calibri" w:hint="eastAsia"/>
          <w:sz w:val="26"/>
        </w:rPr>
        <w:t>新穎、</w:t>
      </w:r>
      <w:proofErr w:type="gramEnd"/>
      <w:r w:rsidRPr="000B0DF3">
        <w:rPr>
          <w:rFonts w:ascii="Calibri" w:eastAsia="標楷體" w:hAnsi="Calibri" w:hint="eastAsia"/>
          <w:sz w:val="26"/>
        </w:rPr>
        <w:t>原創性高且具領域開創性。作者對當代歐陸理論的掌握精</w:t>
      </w:r>
      <w:proofErr w:type="gramStart"/>
      <w:r w:rsidRPr="000B0DF3">
        <w:rPr>
          <w:rFonts w:ascii="Calibri" w:eastAsia="標楷體" w:hAnsi="Calibri" w:hint="eastAsia"/>
          <w:sz w:val="26"/>
        </w:rPr>
        <w:t>準</w:t>
      </w:r>
      <w:proofErr w:type="gramEnd"/>
      <w:r w:rsidRPr="000B0DF3">
        <w:rPr>
          <w:rFonts w:ascii="Calibri" w:eastAsia="標楷體" w:hAnsi="Calibri" w:hint="eastAsia"/>
          <w:sz w:val="26"/>
        </w:rPr>
        <w:t>，更企圖以自然寫作所啟動的生命政治與倫理，來回應當下的全球環境危機，成功創造出理論與文學文本之間的精彩豐富對話，開展出台灣文學在書寫美學、環境倫理與自然想像的豐富多樣面貌。該專書對於台灣當代文學研究、生態政治與理論實踐，皆具有重要貢獻。</w:t>
      </w:r>
    </w:p>
    <w:p w:rsidR="00EA758A" w:rsidRDefault="00EA758A" w:rsidP="00EA758A">
      <w:pPr>
        <w:rPr>
          <w:rFonts w:ascii="Calibri" w:eastAsia="標楷體" w:hAnsi="Calibri" w:hint="eastAsia"/>
          <w:sz w:val="26"/>
        </w:rPr>
      </w:pPr>
    </w:p>
    <w:p w:rsidR="00304E8B" w:rsidRDefault="00304E8B" w:rsidP="00EA758A">
      <w:pPr>
        <w:rPr>
          <w:rFonts w:ascii="Calibri" w:eastAsia="標楷體" w:hAnsi="Calibri"/>
          <w:sz w:val="26"/>
        </w:rPr>
      </w:pPr>
    </w:p>
    <w:p w:rsidR="00EA758A" w:rsidRPr="00304E8B" w:rsidRDefault="00EA758A" w:rsidP="00EA758A">
      <w:pPr>
        <w:rPr>
          <w:rFonts w:ascii="Calibri" w:eastAsia="標楷體" w:hAnsi="Calibri"/>
          <w:b/>
          <w:sz w:val="26"/>
        </w:rPr>
      </w:pPr>
      <w:r w:rsidRPr="00304E8B">
        <w:rPr>
          <w:rFonts w:ascii="Calibri" w:eastAsia="標楷體" w:hAnsi="Calibri" w:hint="eastAsia"/>
          <w:b/>
          <w:sz w:val="26"/>
        </w:rPr>
        <w:t>林瑋</w:t>
      </w:r>
      <w:proofErr w:type="gramStart"/>
      <w:r w:rsidRPr="00304E8B">
        <w:rPr>
          <w:rFonts w:ascii="Calibri" w:eastAsia="標楷體" w:hAnsi="Calibri" w:hint="eastAsia"/>
          <w:b/>
          <w:sz w:val="26"/>
        </w:rPr>
        <w:t>嬪</w:t>
      </w:r>
      <w:proofErr w:type="gramEnd"/>
      <w:r w:rsidRPr="00304E8B">
        <w:rPr>
          <w:rFonts w:ascii="Calibri" w:eastAsia="標楷體" w:hAnsi="Calibri" w:hint="eastAsia"/>
          <w:b/>
          <w:sz w:val="26"/>
        </w:rPr>
        <w:t>，國立臺灣大學人類學系教授</w:t>
      </w:r>
    </w:p>
    <w:p w:rsidR="00EA758A" w:rsidRPr="00304E8B" w:rsidRDefault="00EA758A" w:rsidP="00EA758A">
      <w:pPr>
        <w:jc w:val="both"/>
        <w:rPr>
          <w:rFonts w:ascii="Calibri" w:eastAsia="標楷體" w:hAnsi="Calibri"/>
          <w:b/>
          <w:i/>
          <w:sz w:val="26"/>
        </w:rPr>
      </w:pPr>
      <w:r w:rsidRPr="00416964">
        <w:rPr>
          <w:rFonts w:ascii="Calibri" w:eastAsia="標楷體" w:hAnsi="Calibri" w:hint="eastAsia"/>
          <w:sz w:val="26"/>
        </w:rPr>
        <w:t>得獎</w:t>
      </w:r>
      <w:r>
        <w:rPr>
          <w:rFonts w:ascii="Calibri" w:eastAsia="標楷體" w:hAnsi="Calibri" w:hint="eastAsia"/>
          <w:sz w:val="26"/>
        </w:rPr>
        <w:t>專書</w:t>
      </w:r>
      <w:r w:rsidRPr="00416964">
        <w:rPr>
          <w:rFonts w:ascii="Calibri" w:eastAsia="標楷體" w:hAnsi="Calibri" w:hint="eastAsia"/>
          <w:sz w:val="26"/>
        </w:rPr>
        <w:t>：</w:t>
      </w:r>
      <w:r>
        <w:rPr>
          <w:rFonts w:ascii="Calibri" w:eastAsia="標楷體" w:hAnsi="Calibri" w:hint="eastAsia"/>
          <w:sz w:val="26"/>
        </w:rPr>
        <w:t xml:space="preserve"> </w:t>
      </w:r>
      <w:r w:rsidRPr="00304E8B">
        <w:rPr>
          <w:rFonts w:ascii="Calibri" w:eastAsia="標楷體" w:hAnsi="Calibri"/>
          <w:b/>
          <w:i/>
          <w:sz w:val="26"/>
        </w:rPr>
        <w:t xml:space="preserve">Materializing Magic Power: Chinese Popular Religion in Villages </w:t>
      </w:r>
    </w:p>
    <w:p w:rsidR="00EA758A" w:rsidRPr="00304E8B" w:rsidRDefault="00EA758A" w:rsidP="00EA758A">
      <w:pPr>
        <w:ind w:left="1440"/>
        <w:jc w:val="both"/>
        <w:rPr>
          <w:rFonts w:ascii="Calibri" w:eastAsia="標楷體" w:hAnsi="Calibri"/>
          <w:b/>
          <w:sz w:val="26"/>
        </w:rPr>
      </w:pPr>
      <w:proofErr w:type="gramStart"/>
      <w:r w:rsidRPr="00304E8B">
        <w:rPr>
          <w:rFonts w:ascii="Calibri" w:eastAsia="標楷體" w:hAnsi="Calibri"/>
          <w:b/>
          <w:i/>
          <w:sz w:val="26"/>
        </w:rPr>
        <w:t>and</w:t>
      </w:r>
      <w:proofErr w:type="gramEnd"/>
      <w:r w:rsidRPr="00304E8B">
        <w:rPr>
          <w:rFonts w:ascii="Calibri" w:eastAsia="標楷體" w:hAnsi="Calibri"/>
          <w:b/>
          <w:i/>
          <w:sz w:val="26"/>
        </w:rPr>
        <w:t xml:space="preserve"> Cities</w:t>
      </w:r>
      <w:r w:rsidRPr="00304E8B">
        <w:rPr>
          <w:rFonts w:ascii="Calibri" w:eastAsia="標楷體" w:hAnsi="Calibri"/>
          <w:b/>
          <w:sz w:val="26"/>
        </w:rPr>
        <w:t>, Cambridge, MA, USA: Harvard Univers</w:t>
      </w:r>
      <w:r w:rsidRPr="00304E8B">
        <w:rPr>
          <w:rFonts w:ascii="Calibri" w:eastAsia="標楷體" w:hAnsi="Calibri" w:hint="eastAsia"/>
          <w:b/>
          <w:sz w:val="26"/>
        </w:rPr>
        <w:t>i</w:t>
      </w:r>
      <w:r w:rsidRPr="00304E8B">
        <w:rPr>
          <w:rFonts w:ascii="Calibri" w:eastAsia="標楷體" w:hAnsi="Calibri"/>
          <w:b/>
          <w:sz w:val="26"/>
        </w:rPr>
        <w:t>ty Asia Center</w:t>
      </w:r>
      <w:r w:rsidRPr="00304E8B">
        <w:rPr>
          <w:rFonts w:ascii="Calibri" w:eastAsia="標楷體" w:hAnsi="Calibri" w:hint="eastAsia"/>
          <w:b/>
          <w:sz w:val="26"/>
        </w:rPr>
        <w:t>, 2015.</w:t>
      </w:r>
    </w:p>
    <w:p w:rsidR="00EA758A" w:rsidRDefault="00EA758A" w:rsidP="00E21FCC">
      <w:pPr>
        <w:spacing w:beforeLines="50" w:before="180"/>
        <w:jc w:val="both"/>
        <w:rPr>
          <w:rFonts w:ascii="Calibri" w:eastAsia="標楷體" w:hAnsi="Calibri"/>
          <w:sz w:val="26"/>
        </w:rPr>
      </w:pPr>
      <w:r w:rsidRPr="000B0DF3">
        <w:rPr>
          <w:rFonts w:ascii="Calibri" w:eastAsia="標楷體" w:hAnsi="Calibri" w:hint="eastAsia"/>
          <w:sz w:val="26"/>
        </w:rPr>
        <w:t>本書</w:t>
      </w:r>
      <w:r w:rsidRPr="000B0DF3">
        <w:rPr>
          <w:rFonts w:ascii="Calibri" w:eastAsia="標楷體" w:hAnsi="Calibri"/>
          <w:sz w:val="26"/>
        </w:rPr>
        <w:t>是作者十數年來在台灣南北各地，城市（桃園八德）與鄉村（台南三寮灣），研究臺灣漢人民間信仰的結晶，並以</w:t>
      </w:r>
      <w:r w:rsidRPr="000B0DF3">
        <w:rPr>
          <w:rFonts w:ascii="Calibri" w:eastAsia="標楷體" w:hAnsi="Calibri"/>
          <w:sz w:val="26"/>
        </w:rPr>
        <w:t>Materializing</w:t>
      </w:r>
      <w:r w:rsidRPr="000B0DF3">
        <w:rPr>
          <w:rFonts w:ascii="Calibri" w:eastAsia="標楷體" w:hAnsi="Calibri" w:hint="eastAsia"/>
          <w:sz w:val="26"/>
        </w:rPr>
        <w:t xml:space="preserve"> </w:t>
      </w:r>
      <w:r w:rsidRPr="000B0DF3">
        <w:rPr>
          <w:rFonts w:ascii="Calibri" w:eastAsia="標楷體" w:hAnsi="Calibri"/>
          <w:sz w:val="26"/>
        </w:rPr>
        <w:t>（具像化）來貫串全書各章節，用以呈顯民間信仰的靈力操作性的一面。作者在以往宗教人類學比較少強調的神像</w:t>
      </w:r>
      <w:proofErr w:type="gramStart"/>
      <w:r w:rsidRPr="000B0DF3">
        <w:rPr>
          <w:rFonts w:ascii="Calibri" w:eastAsia="標楷體" w:hAnsi="Calibri"/>
          <w:sz w:val="26"/>
        </w:rPr>
        <w:t>與神媒這兩個</w:t>
      </w:r>
      <w:proofErr w:type="gramEnd"/>
      <w:r w:rsidRPr="000B0DF3">
        <w:rPr>
          <w:rFonts w:ascii="Calibri" w:eastAsia="標楷體" w:hAnsi="Calibri"/>
          <w:sz w:val="26"/>
        </w:rPr>
        <w:t>媒介來討論民間信仰的物質形式。作者認為神像</w:t>
      </w:r>
      <w:proofErr w:type="gramStart"/>
      <w:r w:rsidRPr="000B0DF3">
        <w:rPr>
          <w:rFonts w:ascii="Calibri" w:eastAsia="標楷體" w:hAnsi="Calibri"/>
          <w:sz w:val="26"/>
        </w:rPr>
        <w:t>與神媒之所以</w:t>
      </w:r>
      <w:proofErr w:type="gramEnd"/>
      <w:r w:rsidRPr="000B0DF3">
        <w:rPr>
          <w:rFonts w:ascii="Calibri" w:eastAsia="標楷體" w:hAnsi="Calibri"/>
          <w:sz w:val="26"/>
        </w:rPr>
        <w:t>擁有靈驗與靈力，最主要是二者同時</w:t>
      </w:r>
      <w:proofErr w:type="gramStart"/>
      <w:r w:rsidRPr="000B0DF3">
        <w:rPr>
          <w:rFonts w:ascii="Calibri" w:eastAsia="標楷體" w:hAnsi="Calibri"/>
          <w:sz w:val="26"/>
        </w:rPr>
        <w:t>具像化了</w:t>
      </w:r>
      <w:proofErr w:type="gramEnd"/>
      <w:r w:rsidRPr="000B0DF3">
        <w:rPr>
          <w:rFonts w:ascii="Calibri" w:eastAsia="標楷體" w:hAnsi="Calibri"/>
          <w:sz w:val="26"/>
        </w:rPr>
        <w:t>「人」</w:t>
      </w:r>
      <w:r w:rsidRPr="000B0DF3">
        <w:rPr>
          <w:rFonts w:ascii="Calibri" w:eastAsia="標楷體" w:hAnsi="Calibri" w:hint="eastAsia"/>
          <w:sz w:val="26"/>
        </w:rPr>
        <w:t>(</w:t>
      </w:r>
      <w:r w:rsidRPr="000B0DF3">
        <w:rPr>
          <w:rFonts w:ascii="Calibri" w:eastAsia="標楷體" w:hAnsi="Calibri"/>
          <w:sz w:val="26"/>
        </w:rPr>
        <w:t>personificat</w:t>
      </w:r>
      <w:r>
        <w:rPr>
          <w:rFonts w:ascii="Calibri" w:eastAsia="標楷體" w:hAnsi="Calibri" w:hint="eastAsia"/>
          <w:sz w:val="26"/>
        </w:rPr>
        <w:t>i</w:t>
      </w:r>
      <w:r w:rsidRPr="000B0DF3">
        <w:rPr>
          <w:rFonts w:ascii="Calibri" w:eastAsia="標楷體" w:hAnsi="Calibri"/>
          <w:sz w:val="26"/>
        </w:rPr>
        <w:t>on</w:t>
      </w:r>
      <w:r w:rsidRPr="000B0DF3">
        <w:rPr>
          <w:rFonts w:ascii="Calibri" w:eastAsia="標楷體" w:hAnsi="Calibri" w:hint="eastAsia"/>
          <w:sz w:val="26"/>
        </w:rPr>
        <w:t xml:space="preserve">) </w:t>
      </w:r>
      <w:r w:rsidRPr="000B0DF3">
        <w:rPr>
          <w:rFonts w:ascii="Calibri" w:eastAsia="標楷體" w:hAnsi="Calibri"/>
          <w:sz w:val="26"/>
        </w:rPr>
        <w:t>與「地」</w:t>
      </w:r>
      <w:r w:rsidRPr="000B0DF3">
        <w:rPr>
          <w:rFonts w:ascii="Calibri" w:eastAsia="標楷體" w:hAnsi="Calibri" w:hint="eastAsia"/>
          <w:sz w:val="26"/>
        </w:rPr>
        <w:t>(</w:t>
      </w:r>
      <w:r w:rsidRPr="000B0DF3">
        <w:rPr>
          <w:rFonts w:ascii="Calibri" w:eastAsia="標楷體" w:hAnsi="Calibri"/>
          <w:sz w:val="26"/>
        </w:rPr>
        <w:t>localization</w:t>
      </w:r>
      <w:r w:rsidRPr="000B0DF3">
        <w:rPr>
          <w:rFonts w:ascii="Calibri" w:eastAsia="標楷體" w:hAnsi="Calibri" w:hint="eastAsia"/>
          <w:sz w:val="26"/>
        </w:rPr>
        <w:t>)</w:t>
      </w:r>
      <w:r w:rsidRPr="000B0DF3">
        <w:rPr>
          <w:rFonts w:ascii="Calibri" w:eastAsia="標楷體" w:hAnsi="Calibri"/>
          <w:sz w:val="26"/>
        </w:rPr>
        <w:t>。作者並追蹤不同的物質形式可以媒介</w:t>
      </w:r>
      <w:r w:rsidRPr="000B0DF3">
        <w:rPr>
          <w:rFonts w:ascii="Calibri" w:eastAsia="標楷體" w:hAnsi="Calibri"/>
          <w:sz w:val="26"/>
        </w:rPr>
        <w:t>(mediate)</w:t>
      </w:r>
      <w:r w:rsidRPr="000B0DF3">
        <w:rPr>
          <w:rFonts w:ascii="Calibri" w:eastAsia="標楷體" w:hAnsi="Calibri"/>
          <w:sz w:val="26"/>
        </w:rPr>
        <w:t>不同的靈力。作者並追蹤鄉村的移民如何進入城市，將鄉村的神像分身到城市膜拜，並挑選新的</w:t>
      </w:r>
      <w:proofErr w:type="gramStart"/>
      <w:r w:rsidRPr="000B0DF3">
        <w:rPr>
          <w:rFonts w:ascii="Calibri" w:eastAsia="標楷體" w:hAnsi="Calibri"/>
          <w:sz w:val="26"/>
        </w:rPr>
        <w:t>神媒以便</w:t>
      </w:r>
      <w:proofErr w:type="gramEnd"/>
      <w:r w:rsidRPr="000B0DF3">
        <w:rPr>
          <w:rFonts w:ascii="Calibri" w:eastAsia="標楷體" w:hAnsi="Calibri"/>
          <w:sz w:val="26"/>
        </w:rPr>
        <w:t>服務於城市移民所需</w:t>
      </w:r>
      <w:r w:rsidRPr="000B0DF3">
        <w:rPr>
          <w:rFonts w:ascii="Calibri" w:eastAsia="標楷體" w:hAnsi="Calibri" w:hint="eastAsia"/>
          <w:sz w:val="26"/>
        </w:rPr>
        <w:t>，</w:t>
      </w:r>
      <w:r w:rsidRPr="000B0DF3">
        <w:rPr>
          <w:rFonts w:ascii="Calibri" w:eastAsia="標楷體" w:hAnsi="Calibri"/>
          <w:sz w:val="26"/>
        </w:rPr>
        <w:t>說明了鄉村的民間信仰如何轉型成為城市信仰。</w:t>
      </w:r>
    </w:p>
    <w:p w:rsidR="00EA758A" w:rsidRDefault="00EA758A" w:rsidP="00EA758A">
      <w:pPr>
        <w:rPr>
          <w:rFonts w:ascii="Calibri" w:eastAsia="標楷體" w:hAnsi="Calibri"/>
          <w:sz w:val="26"/>
        </w:rPr>
      </w:pPr>
    </w:p>
    <w:p w:rsidR="00EA758A" w:rsidRPr="00304E8B" w:rsidRDefault="00EA758A" w:rsidP="00EA758A">
      <w:pPr>
        <w:rPr>
          <w:rFonts w:ascii="Calibri" w:eastAsia="標楷體" w:hAnsi="Calibri"/>
          <w:b/>
          <w:sz w:val="26"/>
        </w:rPr>
      </w:pPr>
      <w:r w:rsidRPr="00304E8B">
        <w:rPr>
          <w:rFonts w:ascii="Calibri" w:eastAsia="標楷體" w:hAnsi="Calibri" w:hint="eastAsia"/>
          <w:b/>
          <w:sz w:val="26"/>
        </w:rPr>
        <w:t>蔡英文，中央研究院人文社會科學研究中心研究員</w:t>
      </w:r>
    </w:p>
    <w:p w:rsidR="00EA758A" w:rsidRPr="00416964" w:rsidRDefault="00EA758A" w:rsidP="00304E8B">
      <w:pPr>
        <w:ind w:left="1274" w:hangingChars="490" w:hanging="1274"/>
        <w:rPr>
          <w:rFonts w:ascii="Calibri" w:eastAsia="標楷體" w:hAnsi="Calibri"/>
          <w:sz w:val="26"/>
        </w:rPr>
      </w:pPr>
      <w:r w:rsidRPr="00416964">
        <w:rPr>
          <w:rFonts w:ascii="Calibri" w:eastAsia="標楷體" w:hAnsi="Calibri" w:hint="eastAsia"/>
          <w:sz w:val="26"/>
        </w:rPr>
        <w:t>得獎</w:t>
      </w:r>
      <w:r>
        <w:rPr>
          <w:rFonts w:ascii="Calibri" w:eastAsia="標楷體" w:hAnsi="Calibri" w:hint="eastAsia"/>
          <w:sz w:val="26"/>
        </w:rPr>
        <w:t>專書</w:t>
      </w:r>
      <w:r w:rsidRPr="00416964">
        <w:rPr>
          <w:rFonts w:ascii="Calibri" w:eastAsia="標楷體" w:hAnsi="Calibri" w:hint="eastAsia"/>
          <w:sz w:val="26"/>
        </w:rPr>
        <w:t>：</w:t>
      </w:r>
      <w:proofErr w:type="gramStart"/>
      <w:r w:rsidRPr="00304E8B">
        <w:rPr>
          <w:rFonts w:ascii="Calibri" w:eastAsia="標楷體" w:hAnsi="Calibri" w:hint="eastAsia"/>
          <w:b/>
          <w:sz w:val="26"/>
        </w:rPr>
        <w:t>《</w:t>
      </w:r>
      <w:proofErr w:type="gramEnd"/>
      <w:r w:rsidRPr="00304E8B">
        <w:rPr>
          <w:rFonts w:ascii="Calibri" w:eastAsia="標楷體" w:hAnsi="Calibri" w:hint="eastAsia"/>
          <w:b/>
          <w:sz w:val="26"/>
        </w:rPr>
        <w:t>從王權、專制到民主：西方民主思想的開展及其問題</w:t>
      </w:r>
      <w:proofErr w:type="gramStart"/>
      <w:r w:rsidRPr="00304E8B">
        <w:rPr>
          <w:rFonts w:ascii="Calibri" w:eastAsia="標楷體" w:hAnsi="Calibri" w:hint="eastAsia"/>
          <w:b/>
          <w:sz w:val="26"/>
        </w:rPr>
        <w:t>》</w:t>
      </w:r>
      <w:proofErr w:type="gramEnd"/>
      <w:r w:rsidRPr="00FF6782">
        <w:rPr>
          <w:rFonts w:ascii="Calibri" w:eastAsia="標楷體" w:hAnsi="Calibri" w:hint="eastAsia"/>
          <w:sz w:val="26"/>
        </w:rPr>
        <w:t>，台北市：聯經出版公司</w:t>
      </w:r>
      <w:r>
        <w:rPr>
          <w:rFonts w:ascii="Calibri" w:eastAsia="標楷體" w:hAnsi="Calibri" w:hint="eastAsia"/>
          <w:sz w:val="26"/>
        </w:rPr>
        <w:t>，</w:t>
      </w:r>
      <w:r>
        <w:rPr>
          <w:rFonts w:ascii="Calibri" w:eastAsia="標楷體" w:hAnsi="Calibri" w:hint="eastAsia"/>
          <w:sz w:val="26"/>
        </w:rPr>
        <w:t>2015</w:t>
      </w:r>
      <w:r w:rsidRPr="00FF6782">
        <w:rPr>
          <w:rFonts w:ascii="Calibri" w:eastAsia="標楷體" w:hAnsi="Calibri" w:hint="eastAsia"/>
          <w:sz w:val="26"/>
        </w:rPr>
        <w:t>。</w:t>
      </w:r>
    </w:p>
    <w:p w:rsidR="00EA758A" w:rsidRPr="00FF6782" w:rsidRDefault="00EA758A" w:rsidP="00E21FCC">
      <w:pPr>
        <w:spacing w:beforeLines="50" w:before="180"/>
        <w:rPr>
          <w:rFonts w:ascii="Calibri" w:eastAsia="標楷體" w:hAnsi="Calibri"/>
          <w:sz w:val="26"/>
        </w:rPr>
      </w:pPr>
      <w:r w:rsidRPr="00FF6782">
        <w:rPr>
          <w:rFonts w:ascii="Calibri" w:eastAsia="標楷體" w:hAnsi="Calibri" w:hint="eastAsia"/>
          <w:sz w:val="26"/>
        </w:rPr>
        <w:t>過去我國對於民主政治發展的研究，多半針對憲政規範、政府體制，或是政黨政治等制度面向的討論，鮮少有學術著作從政治思想作為論述核心，爬梳民主政治的發展脈絡與爭議。本書補足我國學界在民主政治發展與轉型討論的空白之處，從古典希臘公民社會、中世紀神學、近代社會契約、公平正義等政治思想家，汲取當代民主政治發展有重要影響的論點，並歸結到當代公共領域、極權主義的罪惡，以及公平正義的省</w:t>
      </w:r>
      <w:r w:rsidRPr="00FF6782">
        <w:rPr>
          <w:rFonts w:ascii="Calibri" w:eastAsia="標楷體" w:hAnsi="Calibri" w:hint="eastAsia"/>
          <w:sz w:val="26"/>
        </w:rPr>
        <w:lastRenderedPageBreak/>
        <w:t>思。作者雖以西方民主政治理論作為討論對象，但重點仍是民主政治運作過程；作者指出，分權政治對於政府治理的損害、政黨政治對於民主治理的癱瘓、民眾受到媒體報導的操弄，以及財閥取代貴族政治的地位等四大現況，都是當代民主發展亟待解決的問題。作者對於我國威權體制轉型後以往政府體制功過評價的問題，建議以鄂蘭提出「罪惡之平庸性」觀點作為借鏡，建議加強公民「批判性的判斷」能力，以解決我國民主轉型的困境。</w:t>
      </w:r>
    </w:p>
    <w:p w:rsidR="00EA758A" w:rsidRPr="00FF6782" w:rsidRDefault="00EA758A" w:rsidP="00EA758A">
      <w:pPr>
        <w:rPr>
          <w:rFonts w:ascii="Calibri" w:eastAsia="標楷體" w:hAnsi="Calibri"/>
          <w:sz w:val="26"/>
        </w:rPr>
      </w:pPr>
    </w:p>
    <w:p w:rsidR="00EA758A" w:rsidRPr="00304E8B" w:rsidRDefault="00EA758A" w:rsidP="00EA758A">
      <w:pPr>
        <w:rPr>
          <w:rFonts w:ascii="Calibri" w:eastAsia="標楷體" w:hAnsi="Calibri"/>
          <w:b/>
          <w:sz w:val="26"/>
        </w:rPr>
      </w:pPr>
      <w:r w:rsidRPr="00304E8B">
        <w:rPr>
          <w:rFonts w:ascii="Calibri" w:eastAsia="標楷體" w:hAnsi="Calibri" w:hint="eastAsia"/>
          <w:b/>
          <w:sz w:val="26"/>
        </w:rPr>
        <w:t>劉斐</w:t>
      </w:r>
      <w:proofErr w:type="gramStart"/>
      <w:r w:rsidRPr="00304E8B">
        <w:rPr>
          <w:rFonts w:ascii="Calibri" w:eastAsia="標楷體" w:hAnsi="Calibri" w:hint="eastAsia"/>
          <w:b/>
          <w:sz w:val="26"/>
        </w:rPr>
        <w:t>玟</w:t>
      </w:r>
      <w:proofErr w:type="gramEnd"/>
      <w:r w:rsidRPr="00304E8B">
        <w:rPr>
          <w:rFonts w:ascii="Calibri" w:eastAsia="標楷體" w:hAnsi="Calibri" w:hint="eastAsia"/>
          <w:b/>
          <w:sz w:val="26"/>
        </w:rPr>
        <w:t>，中央研究院民族學研究所研究員</w:t>
      </w:r>
    </w:p>
    <w:p w:rsidR="00EA758A" w:rsidRPr="00304E8B" w:rsidRDefault="00EA758A" w:rsidP="00E21FCC">
      <w:pPr>
        <w:ind w:left="1342" w:hangingChars="516" w:hanging="1342"/>
        <w:rPr>
          <w:rFonts w:ascii="Calibri" w:eastAsia="標楷體" w:hAnsi="Calibri"/>
          <w:b/>
          <w:sz w:val="26"/>
        </w:rPr>
      </w:pPr>
      <w:r w:rsidRPr="00416964">
        <w:rPr>
          <w:rFonts w:ascii="Calibri" w:eastAsia="標楷體" w:hAnsi="Calibri" w:hint="eastAsia"/>
          <w:sz w:val="26"/>
        </w:rPr>
        <w:t>得獎</w:t>
      </w:r>
      <w:r>
        <w:rPr>
          <w:rFonts w:ascii="Calibri" w:eastAsia="標楷體" w:hAnsi="Calibri" w:hint="eastAsia"/>
          <w:sz w:val="26"/>
        </w:rPr>
        <w:t>專書</w:t>
      </w:r>
      <w:r w:rsidRPr="00416964">
        <w:rPr>
          <w:rFonts w:ascii="Calibri" w:eastAsia="標楷體" w:hAnsi="Calibri" w:hint="eastAsia"/>
          <w:sz w:val="26"/>
        </w:rPr>
        <w:t>：</w:t>
      </w:r>
      <w:r w:rsidRPr="00304E8B">
        <w:rPr>
          <w:rFonts w:eastAsia="華康香港標準楷書"/>
          <w:b/>
          <w:i/>
          <w:sz w:val="26"/>
          <w:szCs w:val="26"/>
        </w:rPr>
        <w:t>Gendered Words: Sentiments and Expression in Changing Rural China,</w:t>
      </w:r>
      <w:r w:rsidRPr="00304E8B">
        <w:rPr>
          <w:rFonts w:eastAsia="華康香港標準楷書"/>
          <w:b/>
          <w:sz w:val="26"/>
          <w:szCs w:val="26"/>
        </w:rPr>
        <w:t xml:space="preserve"> New York: Oxford University Press</w:t>
      </w:r>
      <w:r w:rsidRPr="00304E8B">
        <w:rPr>
          <w:rFonts w:ascii="Calibri" w:eastAsia="標楷體" w:hAnsi="Calibri" w:hint="eastAsia"/>
          <w:b/>
          <w:sz w:val="26"/>
          <w:szCs w:val="26"/>
        </w:rPr>
        <w:t xml:space="preserve">, </w:t>
      </w:r>
      <w:r w:rsidRPr="00304E8B">
        <w:rPr>
          <w:rFonts w:ascii="Calibri" w:eastAsia="標楷體" w:hAnsi="Calibri" w:hint="eastAsia"/>
          <w:b/>
          <w:sz w:val="26"/>
        </w:rPr>
        <w:t>2015.</w:t>
      </w:r>
      <w:r w:rsidRPr="00304E8B">
        <w:rPr>
          <w:rFonts w:ascii="Calibri" w:eastAsia="標楷體" w:hAnsi="Calibri"/>
          <w:b/>
          <w:sz w:val="26"/>
        </w:rPr>
        <w:t xml:space="preserve"> </w:t>
      </w:r>
    </w:p>
    <w:p w:rsidR="00EA758A" w:rsidRPr="00FF6782" w:rsidRDefault="00EA758A" w:rsidP="00E21FCC">
      <w:pPr>
        <w:spacing w:beforeLines="50" w:before="180"/>
        <w:rPr>
          <w:rFonts w:ascii="Calibri" w:eastAsia="標楷體" w:hAnsi="Calibri"/>
          <w:sz w:val="26"/>
        </w:rPr>
      </w:pPr>
      <w:r>
        <w:rPr>
          <w:rFonts w:ascii="Calibri" w:eastAsia="標楷體" w:hAnsi="Calibri" w:hint="eastAsia"/>
          <w:sz w:val="26"/>
        </w:rPr>
        <w:t>本書</w:t>
      </w:r>
      <w:r w:rsidRPr="00FF6782">
        <w:rPr>
          <w:rFonts w:ascii="Calibri" w:eastAsia="標楷體" w:hAnsi="Calibri"/>
          <w:sz w:val="26"/>
        </w:rPr>
        <w:t>是作者二十年來調查女書的老書寫者與新傳承者的精彩成果。女書是流行於中國湖南省</w:t>
      </w:r>
      <w:proofErr w:type="gramStart"/>
      <w:r w:rsidRPr="00FF6782">
        <w:rPr>
          <w:rFonts w:ascii="Calibri" w:eastAsia="標楷體" w:hAnsi="Calibri"/>
          <w:sz w:val="26"/>
        </w:rPr>
        <w:t>江永縣農村</w:t>
      </w:r>
      <w:proofErr w:type="gramEnd"/>
      <w:r w:rsidRPr="00FF6782">
        <w:rPr>
          <w:rFonts w:ascii="Calibri" w:eastAsia="標楷體" w:hAnsi="Calibri"/>
          <w:sz w:val="26"/>
        </w:rPr>
        <w:t>婦女的一種書寫系統。女書在書寫之後，於婦女之間傳唱，並口述。女書</w:t>
      </w:r>
      <w:proofErr w:type="gramStart"/>
      <w:r w:rsidRPr="00FF6782">
        <w:rPr>
          <w:rFonts w:ascii="Calibri" w:eastAsia="標楷體" w:hAnsi="Calibri"/>
          <w:sz w:val="26"/>
        </w:rPr>
        <w:t>或女歌主要</w:t>
      </w:r>
      <w:proofErr w:type="gramEnd"/>
      <w:r w:rsidRPr="00FF6782">
        <w:rPr>
          <w:rFonts w:ascii="Calibri" w:eastAsia="標楷體" w:hAnsi="Calibri"/>
          <w:sz w:val="26"/>
        </w:rPr>
        <w:t>用於表達婦女人生甘苦的心聲，主要有婚前「訴可憐」、婚後的「三</w:t>
      </w:r>
      <w:proofErr w:type="gramStart"/>
      <w:r w:rsidRPr="00FF6782">
        <w:rPr>
          <w:rFonts w:ascii="Calibri" w:eastAsia="標楷體" w:hAnsi="Calibri"/>
          <w:sz w:val="26"/>
        </w:rPr>
        <w:t>朝書</w:t>
      </w:r>
      <w:proofErr w:type="gramEnd"/>
      <w:r w:rsidRPr="00FF6782">
        <w:rPr>
          <w:rFonts w:ascii="Calibri" w:eastAsia="標楷體" w:hAnsi="Calibri"/>
          <w:sz w:val="26"/>
        </w:rPr>
        <w:t>」、締結姊妹情等等類別。偶有以女書向神明</w:t>
      </w:r>
      <w:proofErr w:type="gramStart"/>
      <w:r w:rsidRPr="00FF6782">
        <w:rPr>
          <w:rFonts w:ascii="Calibri" w:eastAsia="標楷體" w:hAnsi="Calibri"/>
          <w:sz w:val="26"/>
        </w:rPr>
        <w:t>祈</w:t>
      </w:r>
      <w:proofErr w:type="gramEnd"/>
      <w:r w:rsidRPr="00FF6782">
        <w:rPr>
          <w:rFonts w:ascii="Calibri" w:eastAsia="標楷體" w:hAnsi="Calibri"/>
          <w:sz w:val="26"/>
        </w:rPr>
        <w:t>願賜福。女書</w:t>
      </w:r>
      <w:proofErr w:type="gramStart"/>
      <w:r w:rsidRPr="00FF6782">
        <w:rPr>
          <w:rFonts w:ascii="Calibri" w:eastAsia="標楷體" w:hAnsi="Calibri"/>
          <w:sz w:val="26"/>
        </w:rPr>
        <w:t>與女歌的</w:t>
      </w:r>
      <w:proofErr w:type="gramEnd"/>
      <w:r w:rsidRPr="00FF6782">
        <w:rPr>
          <w:rFonts w:ascii="Calibri" w:eastAsia="標楷體" w:hAnsi="Calibri"/>
          <w:sz w:val="26"/>
        </w:rPr>
        <w:t>搭配，在書寫與吟唱之間其表意與表情</w:t>
      </w:r>
      <w:proofErr w:type="gramStart"/>
      <w:r w:rsidRPr="00FF6782">
        <w:rPr>
          <w:rFonts w:ascii="Calibri" w:eastAsia="標楷體" w:hAnsi="Calibri" w:hint="eastAsia"/>
          <w:sz w:val="26"/>
        </w:rPr>
        <w:t>更具</w:t>
      </w:r>
      <w:r w:rsidRPr="00FF6782">
        <w:rPr>
          <w:rFonts w:ascii="Calibri" w:eastAsia="標楷體" w:hAnsi="Calibri"/>
          <w:sz w:val="26"/>
        </w:rPr>
        <w:t>殊勝</w:t>
      </w:r>
      <w:proofErr w:type="gramEnd"/>
      <w:r w:rsidRPr="00FF6782">
        <w:rPr>
          <w:rFonts w:ascii="Calibri" w:eastAsia="標楷體" w:hAnsi="Calibri" w:hint="eastAsia"/>
          <w:sz w:val="26"/>
        </w:rPr>
        <w:t>。</w:t>
      </w:r>
      <w:r w:rsidRPr="00FF6782">
        <w:rPr>
          <w:rFonts w:ascii="Calibri" w:eastAsia="標楷體" w:hAnsi="Calibri"/>
          <w:sz w:val="26"/>
        </w:rPr>
        <w:t>其次，本書著重討論女書承載的情感（</w:t>
      </w:r>
      <w:r w:rsidRPr="00FF6782">
        <w:rPr>
          <w:rFonts w:ascii="Calibri" w:eastAsia="標楷體" w:hAnsi="Calibri"/>
          <w:sz w:val="26"/>
        </w:rPr>
        <w:t>sentiment</w:t>
      </w:r>
      <w:r w:rsidRPr="00FF6782">
        <w:rPr>
          <w:rFonts w:ascii="Calibri" w:eastAsia="標楷體" w:hAnsi="Calibri"/>
          <w:sz w:val="26"/>
        </w:rPr>
        <w:t>）與情感之外的情感（</w:t>
      </w:r>
      <w:r w:rsidRPr="00FF6782">
        <w:rPr>
          <w:rFonts w:ascii="Calibri" w:eastAsia="標楷體" w:hAnsi="Calibri"/>
          <w:sz w:val="26"/>
        </w:rPr>
        <w:t>meta-sentiment</w:t>
      </w:r>
      <w:r w:rsidRPr="00FF6782">
        <w:rPr>
          <w:rFonts w:ascii="Calibri" w:eastAsia="標楷體" w:hAnsi="Calibri"/>
          <w:sz w:val="26"/>
        </w:rPr>
        <w:t>）</w:t>
      </w:r>
      <w:r w:rsidRPr="00FF6782">
        <w:rPr>
          <w:rFonts w:ascii="Calibri" w:eastAsia="標楷體" w:hAnsi="Calibri" w:hint="eastAsia"/>
          <w:sz w:val="26"/>
        </w:rPr>
        <w:t>。</w:t>
      </w:r>
      <w:proofErr w:type="gramStart"/>
      <w:r w:rsidRPr="00FF6782">
        <w:rPr>
          <w:rFonts w:ascii="Calibri" w:eastAsia="標楷體" w:hAnsi="Calibri" w:hint="eastAsia"/>
          <w:sz w:val="26"/>
        </w:rPr>
        <w:t>總之，</w:t>
      </w:r>
      <w:proofErr w:type="gramEnd"/>
      <w:r w:rsidRPr="00FF6782">
        <w:rPr>
          <w:rFonts w:ascii="Calibri" w:eastAsia="標楷體" w:hAnsi="Calibri"/>
          <w:sz w:val="26"/>
        </w:rPr>
        <w:t>女書研究提供當代性別研究一個很好的參照點，更且在性別與階級方面，</w:t>
      </w:r>
      <w:r w:rsidRPr="00FF6782">
        <w:rPr>
          <w:rFonts w:ascii="Calibri" w:eastAsia="標楷體" w:hAnsi="Calibri" w:hint="eastAsia"/>
          <w:sz w:val="26"/>
        </w:rPr>
        <w:t>也有新的觀點</w:t>
      </w:r>
      <w:r w:rsidRPr="00FF6782">
        <w:rPr>
          <w:rFonts w:ascii="Calibri" w:eastAsia="標楷體" w:hAnsi="Calibri"/>
          <w:sz w:val="26"/>
        </w:rPr>
        <w:t>。</w:t>
      </w:r>
      <w:r w:rsidRPr="00FF6782">
        <w:rPr>
          <w:rFonts w:ascii="Calibri" w:eastAsia="標楷體" w:hAnsi="Calibri" w:hint="eastAsia"/>
          <w:sz w:val="26"/>
        </w:rPr>
        <w:t>本書也成功地實驗了「生命史敘說」在民族</w:t>
      </w:r>
      <w:proofErr w:type="gramStart"/>
      <w:r w:rsidRPr="00FF6782">
        <w:rPr>
          <w:rFonts w:ascii="Calibri" w:eastAsia="標楷體" w:hAnsi="Calibri" w:hint="eastAsia"/>
          <w:sz w:val="26"/>
        </w:rPr>
        <w:t>誌</w:t>
      </w:r>
      <w:proofErr w:type="gramEnd"/>
      <w:r w:rsidRPr="00FF6782">
        <w:rPr>
          <w:rFonts w:ascii="Calibri" w:eastAsia="標楷體" w:hAnsi="Calibri" w:hint="eastAsia"/>
          <w:sz w:val="26"/>
        </w:rPr>
        <w:t>書寫的可能性。</w:t>
      </w:r>
    </w:p>
    <w:p w:rsidR="00EA758A" w:rsidRPr="00FF6782" w:rsidRDefault="00EA758A" w:rsidP="00EA758A">
      <w:pPr>
        <w:rPr>
          <w:rFonts w:ascii="Calibri" w:eastAsia="標楷體" w:hAnsi="Calibri"/>
          <w:sz w:val="26"/>
        </w:rPr>
      </w:pPr>
    </w:p>
    <w:p w:rsidR="00EA758A" w:rsidRPr="00304E8B" w:rsidRDefault="00EA758A" w:rsidP="00EA758A">
      <w:pPr>
        <w:rPr>
          <w:rFonts w:ascii="Calibri" w:eastAsia="標楷體" w:hAnsi="Calibri"/>
          <w:b/>
          <w:sz w:val="26"/>
        </w:rPr>
      </w:pPr>
      <w:r w:rsidRPr="00304E8B">
        <w:rPr>
          <w:rFonts w:ascii="Calibri" w:eastAsia="標楷體" w:hAnsi="Calibri" w:hint="eastAsia"/>
          <w:b/>
          <w:sz w:val="26"/>
        </w:rPr>
        <w:t>劉華真，國立臺灣大學社會學系副教授</w:t>
      </w:r>
    </w:p>
    <w:p w:rsidR="00EA758A" w:rsidRPr="00304E8B" w:rsidRDefault="00EA758A" w:rsidP="00E21FCC">
      <w:pPr>
        <w:ind w:left="1274" w:hangingChars="490" w:hanging="1274"/>
        <w:jc w:val="both"/>
        <w:rPr>
          <w:rFonts w:ascii="Calibri" w:eastAsia="標楷體" w:hAnsi="Calibri"/>
          <w:b/>
          <w:sz w:val="26"/>
          <w:szCs w:val="26"/>
        </w:rPr>
      </w:pPr>
      <w:r w:rsidRPr="00B21E11">
        <w:rPr>
          <w:rFonts w:ascii="Calibri" w:eastAsia="標楷體" w:hAnsi="Calibri" w:hint="eastAsia"/>
          <w:sz w:val="26"/>
        </w:rPr>
        <w:t>得獎</w:t>
      </w:r>
      <w:r>
        <w:rPr>
          <w:rFonts w:ascii="Calibri" w:eastAsia="標楷體" w:hAnsi="Calibri" w:hint="eastAsia"/>
          <w:sz w:val="26"/>
        </w:rPr>
        <w:t>專書</w:t>
      </w:r>
      <w:r w:rsidRPr="00B21E11">
        <w:rPr>
          <w:rFonts w:ascii="Calibri" w:eastAsia="標楷體" w:hAnsi="Calibri" w:hint="eastAsia"/>
          <w:sz w:val="26"/>
        </w:rPr>
        <w:t>：</w:t>
      </w:r>
      <w:r w:rsidRPr="00304E8B">
        <w:rPr>
          <w:rFonts w:eastAsia="華康香港標準楷書"/>
          <w:b/>
          <w:i/>
          <w:sz w:val="26"/>
          <w:szCs w:val="26"/>
        </w:rPr>
        <w:t>Leverage of the Weak: Labor and Environmental Movements in Taiwan and South Korea</w:t>
      </w:r>
      <w:r w:rsidRPr="00304E8B">
        <w:rPr>
          <w:rFonts w:eastAsia="華康香港標準楷書"/>
          <w:b/>
          <w:sz w:val="26"/>
          <w:szCs w:val="26"/>
        </w:rPr>
        <w:t>, Minneapolis, MN, USA: University of Minnesota Press</w:t>
      </w:r>
      <w:r w:rsidRPr="00304E8B">
        <w:rPr>
          <w:rFonts w:eastAsia="華康香港標準楷書" w:hint="eastAsia"/>
          <w:b/>
          <w:sz w:val="26"/>
          <w:szCs w:val="26"/>
        </w:rPr>
        <w:t>, 2015.</w:t>
      </w:r>
    </w:p>
    <w:p w:rsidR="00EA758A" w:rsidRDefault="00EA758A" w:rsidP="00E21FCC">
      <w:pPr>
        <w:spacing w:beforeLines="50" w:before="180"/>
        <w:rPr>
          <w:rFonts w:ascii="Calibri" w:eastAsia="標楷體" w:hAnsi="Calibri"/>
          <w:sz w:val="26"/>
        </w:rPr>
      </w:pPr>
      <w:r w:rsidRPr="00B21E11">
        <w:rPr>
          <w:rFonts w:ascii="Calibri" w:eastAsia="標楷體" w:hAnsi="Calibri"/>
          <w:sz w:val="26"/>
        </w:rPr>
        <w:t>本書以二次世界大戰後發展軌跡近似的台灣與南韓為例，分析勞工運動與環境運動如何隨著工人階級</w:t>
      </w:r>
      <w:r w:rsidRPr="00B21E11">
        <w:rPr>
          <w:rFonts w:ascii="Calibri" w:eastAsia="標楷體" w:hAnsi="Calibri" w:hint="eastAsia"/>
          <w:sz w:val="26"/>
        </w:rPr>
        <w:t>、國家權力、意識型態等因素，在大環境社會結構中透過相對位階的制衡力量，形塑出不同的發展序列。研究出發點直接挑戰</w:t>
      </w:r>
      <w:r w:rsidRPr="00B21E11">
        <w:rPr>
          <w:rFonts w:ascii="Calibri" w:eastAsia="標楷體" w:hAnsi="Calibri"/>
          <w:sz w:val="26"/>
        </w:rPr>
        <w:t>歐美社會學界有關社會運動的核心論述，依據強烈的理論建構企圖</w:t>
      </w:r>
      <w:r w:rsidRPr="00B21E11">
        <w:rPr>
          <w:rFonts w:ascii="Calibri" w:eastAsia="標楷體" w:hAnsi="Calibri" w:hint="eastAsia"/>
          <w:sz w:val="26"/>
        </w:rPr>
        <w:t>，有系統地比較台、韓不同社會運動類型的特定議題</w:t>
      </w:r>
      <w:proofErr w:type="gramStart"/>
      <w:r w:rsidRPr="00B21E11">
        <w:rPr>
          <w:rFonts w:ascii="Calibri" w:eastAsia="標楷體" w:hAnsi="Calibri"/>
          <w:sz w:val="26"/>
        </w:rPr>
        <w:t>及</w:t>
      </w:r>
      <w:r w:rsidRPr="00B21E11">
        <w:rPr>
          <w:rFonts w:ascii="Calibri" w:eastAsia="標楷體" w:hAnsi="Calibri" w:hint="eastAsia"/>
          <w:sz w:val="26"/>
        </w:rPr>
        <w:t>形構過程</w:t>
      </w:r>
      <w:proofErr w:type="gramEnd"/>
      <w:r w:rsidRPr="00B21E11">
        <w:rPr>
          <w:rFonts w:ascii="Calibri" w:eastAsia="標楷體" w:hAnsi="Calibri" w:hint="eastAsia"/>
          <w:sz w:val="26"/>
        </w:rPr>
        <w:t>，從豐富材料中進行嚴謹分析，開展精緻的多層次理論論述。研究成果除了改寫文獻中有關國家發</w:t>
      </w:r>
      <w:r w:rsidRPr="00B21E11">
        <w:rPr>
          <w:rFonts w:ascii="Calibri" w:eastAsia="標楷體" w:hAnsi="Calibri"/>
          <w:sz w:val="26"/>
        </w:rPr>
        <w:t>展</w:t>
      </w:r>
      <w:r w:rsidRPr="00B21E11">
        <w:rPr>
          <w:rFonts w:ascii="Calibri" w:eastAsia="標楷體" w:hAnsi="Calibri" w:hint="eastAsia"/>
          <w:sz w:val="26"/>
        </w:rPr>
        <w:t>與社會運動產生序列的既有論點，也開啟資本主義、民主發展、東亞研究等領域的新興爭辯議題，預計將成為相關研究及教學的必讀專著。</w:t>
      </w:r>
    </w:p>
    <w:p w:rsidR="00EA758A" w:rsidRDefault="00EA758A" w:rsidP="00EA758A">
      <w:pPr>
        <w:rPr>
          <w:rFonts w:ascii="Calibri" w:eastAsia="標楷體" w:hAnsi="Calibri"/>
          <w:sz w:val="26"/>
        </w:rPr>
      </w:pPr>
    </w:p>
    <w:p w:rsidR="00DF5F5F" w:rsidRPr="00EA758A" w:rsidRDefault="00E21FCC">
      <w:bookmarkStart w:id="0" w:name="_GoBack"/>
      <w:bookmarkEnd w:id="0"/>
    </w:p>
    <w:sectPr w:rsidR="00DF5F5F" w:rsidRPr="00EA758A" w:rsidSect="00304E8B">
      <w:pgSz w:w="11906" w:h="16838"/>
      <w:pgMar w:top="1440" w:right="1274" w:bottom="144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香港標準楷書">
    <w:altName w:val="Arial Unicode MS"/>
    <w:charset w:val="88"/>
    <w:family w:val="script"/>
    <w:pitch w:val="fixed"/>
    <w:sig w:usb0="00000000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8A"/>
    <w:rsid w:val="00304E8B"/>
    <w:rsid w:val="00734786"/>
    <w:rsid w:val="00961367"/>
    <w:rsid w:val="00A4635E"/>
    <w:rsid w:val="00E21FCC"/>
    <w:rsid w:val="00EA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2016-12-12T03:36:00Z</dcterms:created>
  <dcterms:modified xsi:type="dcterms:W3CDTF">2016-12-12T08:44:00Z</dcterms:modified>
</cp:coreProperties>
</file>